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2016版GB/T19001和GB/T24001管理体系标准换版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培训费：2016版GB/T19001质量管理体系标准800元/人， 2016版GB/T24001环境管理体系标准500元/人（含授课费、培训期间午餐、资料费、证书费等；企业每选送6人，可免1名领队培训费）。住宿及晚餐统一安排，费用自理。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  <w:r>
      <w:rPr>
        <w:rStyle w:val="4"/>
        <w:rFonts w:ascii="Times New Roman" w:hAnsi="Times New Roman"/>
        <w:sz w:val="24"/>
        <w:szCs w:val="24"/>
      </w:rPr>
      <w:t xml:space="preserve"> </w:t>
    </w:r>
  </w:p>
  <w:p>
    <w:pPr>
      <w:pStyle w:val="2"/>
      <w:ind w:right="360" w:firstLine="360"/>
    </w:pPr>
  </w:p>
  <w:p>
    <w:pPr>
      <w:pStyle w:val="2"/>
      <w:ind w:right="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56E1"/>
    <w:multiLevelType w:val="multilevel"/>
    <w:tmpl w:val="0F9756E1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33888"/>
    <w:rsid w:val="0E9338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2017-12-27T06:13:00Z</dcterms:created>
  <dc:creator>Only One、De承諾。</dc:creator>
  <cp:lastModifiedBy>Only One、De承諾。</cp:lastModifiedBy>
  <dcterms:modified xsi:type="dcterms:W3CDTF">2017-12-27T06:14:01Z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